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bCs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/>
          <w:b/>
          <w:bCs/>
          <w:kern w:val="2"/>
          <w:sz w:val="32"/>
          <w:szCs w:val="32"/>
        </w:rPr>
        <w:t>严重不良事件报告</w:t>
      </w:r>
    </w:p>
    <w:p>
      <w:pPr>
        <w:jc w:val="center"/>
        <w:rPr>
          <w:rFonts w:ascii="Calibri" w:hAnsi="Calibri"/>
          <w:b/>
          <w:bCs/>
          <w:kern w:val="2"/>
          <w:sz w:val="18"/>
          <w:szCs w:val="18"/>
        </w:rPr>
      </w:pP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ascii="Calibri" w:hAnsi="Calibri"/>
          <w:b/>
          <w:bCs/>
          <w:kern w:val="2"/>
          <w:sz w:val="24"/>
          <w:szCs w:val="24"/>
        </w:rPr>
        <w:t xml:space="preserve">                      </w:t>
      </w:r>
      <w:r>
        <w:rPr>
          <w:rFonts w:ascii="Calibri" w:hAnsi="Calibri"/>
          <w:b/>
          <w:bCs/>
          <w:kern w:val="2"/>
          <w:sz w:val="24"/>
          <w:szCs w:val="24"/>
        </w:rPr>
        <w:tab/>
      </w:r>
      <w:r>
        <w:rPr>
          <w:rFonts w:hint="eastAsia"/>
          <w:b/>
          <w:sz w:val="18"/>
          <w:szCs w:val="18"/>
        </w:rPr>
        <w:t>该项目S</w:t>
      </w:r>
      <w:r>
        <w:rPr>
          <w:b/>
          <w:sz w:val="18"/>
          <w:szCs w:val="18"/>
        </w:rPr>
        <w:t>AE</w:t>
      </w:r>
      <w:r>
        <w:rPr>
          <w:rFonts w:hint="eastAsia"/>
          <w:b/>
          <w:sz w:val="18"/>
          <w:szCs w:val="18"/>
        </w:rPr>
        <w:t>次数：</w:t>
      </w: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临床试验项目名称</w:t>
            </w:r>
          </w:p>
        </w:tc>
        <w:tc>
          <w:tcPr>
            <w:tcW w:w="694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报告类型</w:t>
            </w:r>
          </w:p>
        </w:tc>
        <w:tc>
          <w:tcPr>
            <w:tcW w:w="6946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605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首次，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41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随访，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2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总结报告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30"/>
        <w:gridCol w:w="213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临床试验同意文号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申办者的单位名称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申办者的联系人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4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临床研究分类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92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Ⅰ期，</w:t>
            </w:r>
            <w:sdt>
              <w:sdtPr>
                <w:rPr>
                  <w:rFonts w:hint="eastAsia"/>
                  <w:sz w:val="24"/>
                  <w:szCs w:val="24"/>
                </w:rPr>
                <w:id w:val="-15318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Ⅱ期，</w:t>
            </w:r>
            <w:sdt>
              <w:sdtPr>
                <w:rPr>
                  <w:rFonts w:hint="eastAsia"/>
                  <w:sz w:val="24"/>
                  <w:szCs w:val="24"/>
                </w:rPr>
                <w:id w:val="-4126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Ⅲ期，</w:t>
            </w:r>
            <w:sdt>
              <w:sdtPr>
                <w:rPr>
                  <w:rFonts w:hint="eastAsia"/>
                  <w:sz w:val="24"/>
                  <w:szCs w:val="24"/>
                </w:rPr>
                <w:id w:val="-13436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Ⅳ期，</w:t>
            </w:r>
            <w:sdt>
              <w:sdtPr>
                <w:rPr>
                  <w:rFonts w:hint="eastAsia"/>
                  <w:sz w:val="24"/>
                  <w:szCs w:val="24"/>
                </w:rPr>
                <w:id w:val="-13501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生物等效性试验，</w:t>
            </w:r>
            <w:sdt>
              <w:sdtPr>
                <w:rPr>
                  <w:rFonts w:hint="eastAsia"/>
                  <w:sz w:val="24"/>
                  <w:szCs w:val="24"/>
                </w:rPr>
                <w:id w:val="15820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30"/>
        <w:gridCol w:w="213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研究机构名称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报告者姓名名称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报告者的电话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4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30"/>
        <w:gridCol w:w="213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受试者的鉴认代码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64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出生时间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48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270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男，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356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264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受试者是否退出研究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70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是，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5677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现病史（试验用药适应症以外，S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繁盛时未恢复的疾病）：描述每一疾病的名称，开始时间，治疗药物（通用名）及用法用量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既往史（S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发生时已经恢复的以往疾病，以及饮酒史，吸烟史，过敏史。特别说明有无肝病史、肾病史）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52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名称（诊断）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是否预期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11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是，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9223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发生时间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获知时间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44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导致死亡，</w:t>
            </w:r>
            <w:sdt>
              <w:sdtPr>
                <w:rPr>
                  <w:rFonts w:hint="eastAsia"/>
                  <w:sz w:val="24"/>
                  <w:szCs w:val="24"/>
                </w:rPr>
                <w:id w:val="46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危及生命（指患者即刻存在死亡的风险，并非是指假设将来发展严重时可能出现死亡），</w:t>
            </w:r>
            <w:sdt>
              <w:sdtPr>
                <w:rPr>
                  <w:rFonts w:hint="eastAsia"/>
                  <w:sz w:val="24"/>
                  <w:szCs w:val="24"/>
                </w:rPr>
                <w:id w:val="5778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导致住院或住院时间延长，</w:t>
            </w:r>
            <w:sdt>
              <w:sdtPr>
                <w:rPr>
                  <w:rFonts w:hint="eastAsia"/>
                  <w:sz w:val="24"/>
                  <w:szCs w:val="24"/>
                </w:rPr>
                <w:id w:val="-3962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永久或显著的功能丧失，</w:t>
            </w:r>
            <w:sdt>
              <w:sdtPr>
                <w:rPr>
                  <w:rFonts w:hint="eastAsia"/>
                  <w:sz w:val="24"/>
                  <w:szCs w:val="24"/>
                </w:rPr>
                <w:id w:val="-10576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致畸、致出生缺陷，</w:t>
            </w:r>
            <w:sdt>
              <w:sdtPr>
                <w:rPr>
                  <w:rFonts w:hint="eastAsia"/>
                  <w:sz w:val="24"/>
                  <w:szCs w:val="24"/>
                </w:rPr>
                <w:id w:val="-1317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其他重要医学事件（可能不会立即危及生命、死亡或住院但如果需要采取医学措施来预防以上情形之一的发生，也通常被视为是严重的）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TCAE</w:t>
            </w:r>
            <w:r>
              <w:rPr>
                <w:rFonts w:hint="eastAsia"/>
                <w:sz w:val="24"/>
                <w:szCs w:val="24"/>
              </w:rPr>
              <w:t>分级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的医疗措施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27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无，</w:t>
            </w:r>
            <w:sdt>
              <w:sdtPr>
                <w:rPr>
                  <w:rFonts w:hint="eastAsia"/>
                  <w:sz w:val="24"/>
                  <w:szCs w:val="24"/>
                </w:rPr>
                <w:id w:val="11535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有（请在“S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临床表现及处理的详细情况”栏说明），</w:t>
            </w:r>
            <w:sdt>
              <w:sdtPr>
                <w:rPr>
                  <w:rFonts w:hint="eastAsia"/>
                  <w:sz w:val="24"/>
                  <w:szCs w:val="24"/>
                </w:rPr>
                <w:id w:val="-127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转归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554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痊愈，</w:t>
            </w:r>
            <w:sdt>
              <w:sdtPr>
                <w:rPr>
                  <w:rFonts w:hint="eastAsia"/>
                  <w:sz w:val="24"/>
                  <w:szCs w:val="24"/>
                </w:rPr>
                <w:id w:val="7401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痊愈伴有后遗症，</w:t>
            </w:r>
            <w:sdt>
              <w:sdtPr>
                <w:rPr>
                  <w:rFonts w:hint="eastAsia"/>
                  <w:sz w:val="24"/>
                  <w:szCs w:val="24"/>
                </w:rPr>
                <w:id w:val="-20633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好转，</w:t>
            </w:r>
            <w:sdt>
              <w:sdtPr>
                <w:rPr>
                  <w:rFonts w:hint="eastAsia"/>
                  <w:sz w:val="24"/>
                  <w:szCs w:val="24"/>
                </w:rPr>
                <w:id w:val="-2251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无好转，</w:t>
            </w:r>
            <w:sdt>
              <w:sdtPr>
                <w:rPr>
                  <w:rFonts w:hint="eastAsia"/>
                  <w:sz w:val="24"/>
                  <w:szCs w:val="24"/>
                </w:rPr>
                <w:id w:val="-11876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死亡，</w:t>
            </w:r>
            <w:sdt>
              <w:sdtPr>
                <w:rPr>
                  <w:rFonts w:hint="eastAsia"/>
                  <w:sz w:val="24"/>
                  <w:szCs w:val="24"/>
                </w:rPr>
                <w:id w:val="-14109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52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相关的实验室检查项目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检查项目名称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正常值上下限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52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试验用药品使用情况（如为设盲试验，尚未破盲，“试验用药名称”记录未破盲）（多个药物，可复制此表）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试验用药品名称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药物编号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临床试验用药适应证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是否已经给药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762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是， </w:t>
            </w:r>
            <w:sdt>
              <w:sdtPr>
                <w:rPr>
                  <w:rFonts w:hint="eastAsia"/>
                  <w:sz w:val="24"/>
                  <w:szCs w:val="24"/>
                </w:rPr>
                <w:id w:val="-1273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开始用药时间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剂量/日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给药途径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对试验用药采取措施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468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继续用药，</w:t>
            </w:r>
            <w:sdt>
              <w:sdtPr>
                <w:rPr>
                  <w:rFonts w:hint="eastAsia"/>
                  <w:sz w:val="24"/>
                  <w:szCs w:val="24"/>
                </w:rPr>
                <w:id w:val="-154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减少剂量，</w:t>
            </w:r>
            <w:sdt>
              <w:sdtPr>
                <w:rPr>
                  <w:rFonts w:hint="eastAsia"/>
                  <w:sz w:val="24"/>
                  <w:szCs w:val="24"/>
                </w:rPr>
                <w:id w:val="7005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停药，</w:t>
            </w:r>
            <w:sdt>
              <w:sdtPr>
                <w:rPr>
                  <w:rFonts w:hint="eastAsia"/>
                  <w:sz w:val="24"/>
                  <w:szCs w:val="24"/>
                </w:rPr>
                <w:id w:val="9239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停药后恢复用药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采取措施时间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是否破盲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157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是，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58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破盲时间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420"/>
        <w:gridCol w:w="1420"/>
        <w:gridCol w:w="1660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合并用药（合并用药指S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发生前开始使用，S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发生时正在使用的药品。针对S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的治疗用药，请记录在“S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临床表现及处理的详细情况栏”）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剂量/日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给药途径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开始用药时间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停药时间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可疑的药物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的相关性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258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肯定有关，</w:t>
            </w:r>
            <w:sdt>
              <w:sdtPr>
                <w:rPr>
                  <w:rFonts w:hint="eastAsia"/>
                  <w:sz w:val="24"/>
                  <w:szCs w:val="24"/>
                </w:rPr>
                <w:id w:val="21362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很可能有关，</w:t>
            </w:r>
            <w:sdt>
              <w:sdtPr>
                <w:rPr>
                  <w:rFonts w:hint="eastAsia"/>
                  <w:sz w:val="24"/>
                  <w:szCs w:val="24"/>
                </w:rPr>
                <w:id w:val="47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可能有关，</w:t>
            </w:r>
            <w:sdt>
              <w:sdtPr>
                <w:rPr>
                  <w:rFonts w:hint="eastAsia"/>
                  <w:sz w:val="24"/>
                  <w:szCs w:val="24"/>
                </w:rPr>
                <w:id w:val="-9557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可能无关</w:t>
            </w:r>
            <w:sdt>
              <w:sdtPr>
                <w:rPr>
                  <w:rFonts w:hint="eastAsia"/>
                  <w:sz w:val="24"/>
                  <w:szCs w:val="24"/>
                </w:rPr>
                <w:id w:val="16362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，肯定无关，</w:t>
            </w:r>
            <w:sdt>
              <w:sdtPr>
                <w:rPr>
                  <w:rFonts w:hint="eastAsia"/>
                  <w:sz w:val="24"/>
                  <w:szCs w:val="24"/>
                </w:rPr>
                <w:id w:val="1185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停用可疑药物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548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消失，</w:t>
            </w:r>
            <w:sdt>
              <w:sdtPr>
                <w:rPr>
                  <w:rFonts w:hint="eastAsia"/>
                  <w:sz w:val="24"/>
                  <w:szCs w:val="24"/>
                </w:rPr>
                <w:id w:val="-9372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没有消失，</w:t>
            </w:r>
            <w:sdt>
              <w:sdtPr>
                <w:rPr>
                  <w:rFonts w:hint="eastAsia"/>
                  <w:sz w:val="24"/>
                  <w:szCs w:val="24"/>
                </w:rPr>
                <w:id w:val="-9500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不适用，</w:t>
            </w:r>
            <w:sdt>
              <w:sdtPr>
                <w:rPr>
                  <w:rFonts w:hint="eastAsia"/>
                  <w:sz w:val="24"/>
                  <w:szCs w:val="24"/>
                </w:rPr>
                <w:id w:val="18935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再次使用可疑药物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139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再次出现，</w:t>
            </w:r>
            <w:sdt>
              <w:sdtPr>
                <w:rPr>
                  <w:rFonts w:hint="eastAsia"/>
                  <w:sz w:val="24"/>
                  <w:szCs w:val="24"/>
                </w:rPr>
                <w:id w:val="-20564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没有再次出现，</w:t>
            </w:r>
            <w:sdt>
              <w:sdtPr>
                <w:rPr>
                  <w:rFonts w:hint="eastAsia"/>
                  <w:sz w:val="24"/>
                  <w:szCs w:val="24"/>
                </w:rPr>
                <w:id w:val="-16765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不适用，</w:t>
            </w:r>
            <w:sdt>
              <w:sdtPr>
                <w:rPr>
                  <w:rFonts w:hint="eastAsia"/>
                  <w:sz w:val="24"/>
                  <w:szCs w:val="24"/>
                </w:rPr>
                <w:id w:val="-4289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是否为S</w:t>
            </w:r>
            <w:r>
              <w:rPr>
                <w:sz w:val="24"/>
                <w:szCs w:val="24"/>
              </w:rPr>
              <w:t>USAR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667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是，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963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949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临床表现及处理的详细情况，包括：受试者的一般情况，疾病史，入组后诊断、治疗情况，是否合并用药及具体药物、给药方法，出现不良反应的时间、严重程度，相关检查检验结果，采取的措施（包括是否减药停药、减药停药后不良反应是否仍然存在、是否进项了对症治疗、具体治疗方法、停药后再次使用药物是否出现不良反应等）、专归（包括出现S</w:t>
            </w:r>
            <w:r>
              <w:rPr>
                <w:sz w:val="24"/>
                <w:szCs w:val="24"/>
              </w:rPr>
              <w:t>AE</w:t>
            </w:r>
            <w:r>
              <w:rPr>
                <w:rFonts w:hint="eastAsia"/>
                <w:sz w:val="24"/>
                <w:szCs w:val="24"/>
              </w:rPr>
              <w:t>后历次相关检查检验结果等）。预试验药物因果关系判定应综合非临床安全性研究结果、其他临床研究安全性信息、同类药物安全性研究信息、药物作用机理等，简单分析并阐述与药物相关性的判断依据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</w:trPr>
        <w:tc>
          <w:tcPr>
            <w:tcW w:w="94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9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研究者签字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72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pgSz w:w="11906" w:h="16838"/>
      <w:pgMar w:top="2098" w:right="1800" w:bottom="1020" w:left="1800" w:header="85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auto"/>
      <w:rPr>
        <w:color w:val="000000"/>
        <w:szCs w:val="18"/>
      </w:rPr>
    </w:pPr>
    <w:r>
      <w:rPr>
        <w:rFonts w:hint="eastAsia"/>
        <w:lang w:val="en-US" w:eastAsia="zh-CN"/>
      </w:rPr>
      <w:t>邢台市中心医院  临床试验伦理委员会</w:t>
    </w:r>
    <w:r>
      <w:rPr>
        <w:rFonts w:hint="eastAsia"/>
        <w:szCs w:val="18"/>
      </w:rPr>
      <w:t xml:space="preserve">                                           </w:t>
    </w:r>
    <w:r>
      <w:rPr>
        <w:szCs w:val="18"/>
      </w:rPr>
      <w:t xml:space="preserve">     </w:t>
    </w:r>
    <w:r>
      <w:rPr>
        <w:rFonts w:hint="eastAsia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6474E8"/>
    <w:rsid w:val="00047B86"/>
    <w:rsid w:val="000A0110"/>
    <w:rsid w:val="00130FCC"/>
    <w:rsid w:val="001916FE"/>
    <w:rsid w:val="00232DCF"/>
    <w:rsid w:val="002840A7"/>
    <w:rsid w:val="002B3FE9"/>
    <w:rsid w:val="00333F39"/>
    <w:rsid w:val="003433FE"/>
    <w:rsid w:val="004509BE"/>
    <w:rsid w:val="004636E4"/>
    <w:rsid w:val="0047331B"/>
    <w:rsid w:val="004E55BB"/>
    <w:rsid w:val="005539FA"/>
    <w:rsid w:val="00554667"/>
    <w:rsid w:val="00586241"/>
    <w:rsid w:val="006474E8"/>
    <w:rsid w:val="00685FCC"/>
    <w:rsid w:val="00706136"/>
    <w:rsid w:val="00782082"/>
    <w:rsid w:val="007C634F"/>
    <w:rsid w:val="008417F7"/>
    <w:rsid w:val="00870CE4"/>
    <w:rsid w:val="0087654D"/>
    <w:rsid w:val="008D01A3"/>
    <w:rsid w:val="00930055"/>
    <w:rsid w:val="0093756F"/>
    <w:rsid w:val="009934F0"/>
    <w:rsid w:val="009F56F1"/>
    <w:rsid w:val="00A1753D"/>
    <w:rsid w:val="00A55738"/>
    <w:rsid w:val="00A650FC"/>
    <w:rsid w:val="00B46458"/>
    <w:rsid w:val="00B6240C"/>
    <w:rsid w:val="00BA02E5"/>
    <w:rsid w:val="00BA4732"/>
    <w:rsid w:val="00C43384"/>
    <w:rsid w:val="00C56E76"/>
    <w:rsid w:val="00C90C34"/>
    <w:rsid w:val="00CC2D41"/>
    <w:rsid w:val="00DD4FFE"/>
    <w:rsid w:val="00DF007C"/>
    <w:rsid w:val="00DF190D"/>
    <w:rsid w:val="00DF43F8"/>
    <w:rsid w:val="00EB4E3A"/>
    <w:rsid w:val="00F003B4"/>
    <w:rsid w:val="00F858D2"/>
    <w:rsid w:val="00FA7B88"/>
    <w:rsid w:val="0505328D"/>
    <w:rsid w:val="090653F0"/>
    <w:rsid w:val="2A016261"/>
    <w:rsid w:val="46E82664"/>
    <w:rsid w:val="597728E7"/>
    <w:rsid w:val="6EA30082"/>
    <w:rsid w:val="6FEE7343"/>
    <w:rsid w:val="706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9"/>
    <w:pPr>
      <w:keepNext/>
      <w:keepLines/>
      <w:spacing w:line="360" w:lineRule="auto"/>
      <w:jc w:val="center"/>
      <w:outlineLvl w:val="3"/>
    </w:pPr>
    <w:rPr>
      <w:rFonts w:ascii="Calibri Light" w:hAnsi="Calibri Light"/>
      <w:b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3"/>
    <w:next w:val="3"/>
    <w:link w:val="15"/>
    <w:autoRedefine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批注框文本 字符"/>
    <w:link w:val="4"/>
    <w:qFormat/>
    <w:uiPriority w:val="0"/>
    <w:rPr>
      <w:rFonts w:ascii="Times New Roman" w:hAnsi="Times New Roman"/>
      <w:sz w:val="18"/>
      <w:szCs w:val="18"/>
    </w:rPr>
  </w:style>
  <w:style w:type="character" w:customStyle="1" w:styleId="13">
    <w:name w:val="页脚 字符"/>
    <w:link w:val="5"/>
    <w:qFormat/>
    <w:uiPriority w:val="99"/>
    <w:rPr>
      <w:rFonts w:ascii="Times New Roman" w:hAnsi="Times New Roman"/>
      <w:sz w:val="18"/>
    </w:rPr>
  </w:style>
  <w:style w:type="character" w:customStyle="1" w:styleId="14">
    <w:name w:val="批注文字 字符"/>
    <w:basedOn w:val="10"/>
    <w:link w:val="3"/>
    <w:semiHidden/>
    <w:qFormat/>
    <w:uiPriority w:val="0"/>
    <w:rPr>
      <w:rFonts w:ascii="Times New Roman" w:hAnsi="Times New Roman"/>
    </w:rPr>
  </w:style>
  <w:style w:type="character" w:customStyle="1" w:styleId="15">
    <w:name w:val="批注主题 字符"/>
    <w:basedOn w:val="14"/>
    <w:link w:val="7"/>
    <w:semiHidden/>
    <w:qFormat/>
    <w:uiPriority w:val="0"/>
    <w:rPr>
      <w:rFonts w:ascii="Times New Roman" w:hAnsi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1191</Words>
  <Characters>1249</Characters>
  <Lines>12</Lines>
  <Paragraphs>3</Paragraphs>
  <TotalTime>552</TotalTime>
  <ScaleCrop>false</ScaleCrop>
  <LinksUpToDate>false</LinksUpToDate>
  <CharactersWithSpaces>1405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2019-08-01T07:11:00Z</dcterms:created>
  <dc:creator>samsung</dc:creator>
  <cp:lastModifiedBy>86157</cp:lastModifiedBy>
  <cp:lastPrinted>2022-10-12T08:53:00Z</cp:lastPrinted>
  <dcterms:modified xsi:type="dcterms:W3CDTF">2024-05-20T13:12:46Z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71BE92AB082A4285BB5A8EFE68525975</vt:lpwstr>
  </property>
</Properties>
</file>